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D" w:rsidRDefault="00CD56EC" w:rsidP="002C011D">
      <w:pPr>
        <w:tabs>
          <w:tab w:val="left" w:pos="1456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1D" w:rsidRDefault="002C011D" w:rsidP="002C011D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2C011D" w:rsidRDefault="002C011D" w:rsidP="002C011D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МУНИЦИПАЛЬНОГО   РАЙОНА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ЙРАЙОНСА</w:t>
      </w:r>
    </w:p>
    <w:p w:rsidR="002C011D" w:rsidRDefault="002C011D" w:rsidP="002C011D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2C011D" w:rsidRPr="00F95A85" w:rsidRDefault="002C011D" w:rsidP="002C011D">
      <w:pPr>
        <w:tabs>
          <w:tab w:val="left" w:pos="1456"/>
        </w:tabs>
        <w:jc w:val="center"/>
        <w:rPr>
          <w:b/>
          <w:bCs/>
          <w:sz w:val="28"/>
          <w:szCs w:val="28"/>
        </w:rPr>
      </w:pPr>
    </w:p>
    <w:p w:rsidR="002C011D" w:rsidRDefault="002C011D" w:rsidP="002C011D">
      <w:pPr>
        <w:pStyle w:val="3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011D" w:rsidRDefault="002C011D" w:rsidP="002C011D">
      <w:pPr>
        <w:tabs>
          <w:tab w:val="left" w:pos="14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2C011D" w:rsidRDefault="002C011D" w:rsidP="002C011D">
      <w:pPr>
        <w:tabs>
          <w:tab w:val="left" w:pos="1456"/>
        </w:tabs>
        <w:jc w:val="both"/>
        <w:rPr>
          <w:b/>
          <w:sz w:val="28"/>
          <w:szCs w:val="28"/>
        </w:rPr>
      </w:pPr>
    </w:p>
    <w:p w:rsidR="002C011D" w:rsidRPr="00937396" w:rsidRDefault="002C011D" w:rsidP="00CE1930">
      <w:pPr>
        <w:tabs>
          <w:tab w:val="left" w:pos="1456"/>
          <w:tab w:val="left" w:pos="7934"/>
        </w:tabs>
        <w:jc w:val="both"/>
        <w:rPr>
          <w:b/>
          <w:u w:val="single"/>
        </w:rPr>
      </w:pPr>
      <w:r>
        <w:t xml:space="preserve">от </w:t>
      </w:r>
      <w:r w:rsidRPr="00DE3FF5">
        <w:t>«</w:t>
      </w:r>
      <w:r w:rsidR="008F3AEC">
        <w:t>____</w:t>
      </w:r>
      <w:r w:rsidRPr="00DE3FF5">
        <w:t xml:space="preserve">» </w:t>
      </w:r>
      <w:r w:rsidR="008F3AEC">
        <w:t>___________</w:t>
      </w:r>
      <w:r w:rsidR="001559B8">
        <w:t xml:space="preserve"> </w:t>
      </w:r>
      <w:r w:rsidRPr="004A6E72">
        <w:t>201</w:t>
      </w:r>
      <w:r w:rsidR="00BA4185">
        <w:t>8</w:t>
      </w:r>
      <w:r w:rsidR="00CE1930">
        <w:t xml:space="preserve"> </w:t>
      </w:r>
      <w:r w:rsidR="00CE1930">
        <w:tab/>
      </w:r>
      <w:r w:rsidR="008F3AEC">
        <w:t xml:space="preserve">    </w:t>
      </w:r>
      <w:r w:rsidR="00CE1930">
        <w:t>№</w:t>
      </w:r>
      <w:r w:rsidR="008F3AEC">
        <w:t xml:space="preserve"> ______</w:t>
      </w:r>
    </w:p>
    <w:p w:rsidR="002C011D" w:rsidRDefault="004264B2" w:rsidP="002C011D">
      <w:pPr>
        <w:tabs>
          <w:tab w:val="left" w:pos="1456"/>
        </w:tabs>
        <w:jc w:val="both"/>
      </w:pPr>
      <w:r>
        <w:t xml:space="preserve">            </w:t>
      </w:r>
      <w:r w:rsidR="002C011D">
        <w:t>г. Сосногорск</w:t>
      </w:r>
    </w:p>
    <w:p w:rsidR="0054499E" w:rsidRPr="00E06205" w:rsidRDefault="0054499E" w:rsidP="002C011D">
      <w:pPr>
        <w:tabs>
          <w:tab w:val="left" w:pos="1456"/>
        </w:tabs>
        <w:jc w:val="both"/>
        <w:rPr>
          <w:b/>
        </w:rPr>
      </w:pPr>
    </w:p>
    <w:p w:rsidR="0031424E" w:rsidRPr="0031424E" w:rsidRDefault="00347522" w:rsidP="0031424E">
      <w:pPr>
        <w:shd w:val="clear" w:color="auto" w:fill="FFFFFF"/>
        <w:tabs>
          <w:tab w:val="num" w:pos="720"/>
          <w:tab w:val="left" w:pos="1456"/>
        </w:tabs>
        <w:ind w:firstLine="540"/>
        <w:jc w:val="center"/>
        <w:rPr>
          <w:sz w:val="28"/>
          <w:szCs w:val="28"/>
        </w:rPr>
      </w:pPr>
      <w:r w:rsidRPr="0031424E">
        <w:rPr>
          <w:sz w:val="28"/>
          <w:szCs w:val="28"/>
        </w:rPr>
        <w:t>О</w:t>
      </w:r>
      <w:r w:rsidR="00CE1930">
        <w:rPr>
          <w:sz w:val="28"/>
          <w:szCs w:val="28"/>
        </w:rPr>
        <w:t xml:space="preserve"> реализации дополнит</w:t>
      </w:r>
      <w:bookmarkStart w:id="0" w:name="_GoBack"/>
      <w:bookmarkEnd w:id="0"/>
      <w:r w:rsidR="00CE1930">
        <w:rPr>
          <w:sz w:val="28"/>
          <w:szCs w:val="28"/>
        </w:rPr>
        <w:t>ельных</w:t>
      </w:r>
      <w:r w:rsidRPr="0031424E">
        <w:rPr>
          <w:sz w:val="28"/>
          <w:szCs w:val="28"/>
        </w:rPr>
        <w:t xml:space="preserve"> </w:t>
      </w:r>
      <w:r w:rsidR="00CE1930">
        <w:rPr>
          <w:sz w:val="28"/>
          <w:szCs w:val="28"/>
        </w:rPr>
        <w:t>мер по увеличению количества участников конкурентных процедур определения поставщиков (подрядчиков, исполнителей) при осуществлении закупок муниципальными заказчиками муниципального образования муниципального района «Сосногорск»</w:t>
      </w:r>
    </w:p>
    <w:p w:rsidR="0054499E" w:rsidRPr="0031424E" w:rsidRDefault="0054499E" w:rsidP="005449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99E" w:rsidRDefault="00347522" w:rsidP="00F7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24E">
        <w:rPr>
          <w:sz w:val="28"/>
          <w:szCs w:val="28"/>
        </w:rPr>
        <w:t>В соответствии</w:t>
      </w:r>
      <w:r w:rsidR="00F761E1">
        <w:rPr>
          <w:sz w:val="28"/>
          <w:szCs w:val="28"/>
        </w:rPr>
        <w:t xml:space="preserve"> с Распоряжением Главы Республики Коми от 30.12.2016 №433-р «</w:t>
      </w:r>
      <w:r w:rsidR="00F761E1">
        <w:rPr>
          <w:rFonts w:eastAsia="Times New Roman"/>
          <w:sz w:val="28"/>
          <w:szCs w:val="28"/>
          <w:lang w:eastAsia="ru-RU"/>
        </w:rPr>
        <w:t>Об утверждении Плана мероприятий («дорожной карты») по содействию развитию конкуренции в Республике Коми»,</w:t>
      </w:r>
      <w:r w:rsidRPr="0031424E">
        <w:rPr>
          <w:sz w:val="28"/>
          <w:szCs w:val="28"/>
        </w:rPr>
        <w:t xml:space="preserve"> </w:t>
      </w:r>
      <w:r w:rsidR="0054499E" w:rsidRPr="0031424E">
        <w:rPr>
          <w:sz w:val="28"/>
          <w:szCs w:val="28"/>
        </w:rPr>
        <w:t>стать</w:t>
      </w:r>
      <w:r w:rsidRPr="0031424E">
        <w:rPr>
          <w:sz w:val="28"/>
          <w:szCs w:val="28"/>
        </w:rPr>
        <w:t>ей</w:t>
      </w:r>
      <w:r w:rsidR="00CE1930">
        <w:rPr>
          <w:sz w:val="28"/>
          <w:szCs w:val="28"/>
        </w:rPr>
        <w:t xml:space="preserve"> </w:t>
      </w:r>
      <w:r w:rsidR="00F761E1">
        <w:rPr>
          <w:sz w:val="28"/>
          <w:szCs w:val="28"/>
        </w:rPr>
        <w:t>8</w:t>
      </w:r>
      <w:r w:rsidR="0054499E" w:rsidRPr="0031424E">
        <w:rPr>
          <w:sz w:val="28"/>
          <w:szCs w:val="28"/>
        </w:rPr>
        <w:t xml:space="preserve"> Федерального закона от 05.04.2013 </w:t>
      </w:r>
      <w:r w:rsidR="00932263">
        <w:rPr>
          <w:sz w:val="28"/>
          <w:szCs w:val="28"/>
        </w:rPr>
        <w:t>№</w:t>
      </w:r>
      <w:r w:rsidR="0054499E" w:rsidRPr="0031424E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C92A7B">
        <w:rPr>
          <w:sz w:val="28"/>
          <w:szCs w:val="28"/>
        </w:rPr>
        <w:t>,</w:t>
      </w:r>
      <w:r w:rsidRPr="0031424E">
        <w:rPr>
          <w:sz w:val="28"/>
          <w:szCs w:val="28"/>
        </w:rPr>
        <w:t xml:space="preserve"> Администрация муниципального района «Сосногорск»</w:t>
      </w:r>
    </w:p>
    <w:p w:rsidR="00F761E1" w:rsidRPr="00F761E1" w:rsidRDefault="00F761E1" w:rsidP="00F761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1424E" w:rsidRDefault="0031424E" w:rsidP="0031424E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F761E1" w:rsidRDefault="00F761E1" w:rsidP="0031424E">
      <w:pPr>
        <w:jc w:val="center"/>
        <w:rPr>
          <w:bCs/>
          <w:spacing w:val="20"/>
          <w:sz w:val="28"/>
          <w:szCs w:val="28"/>
        </w:rPr>
      </w:pPr>
    </w:p>
    <w:p w:rsidR="00F761E1" w:rsidRDefault="00F761E1" w:rsidP="00101F10">
      <w:pPr>
        <w:numPr>
          <w:ilvl w:val="0"/>
          <w:numId w:val="1"/>
        </w:numPr>
        <w:tabs>
          <w:tab w:val="clear" w:pos="1394"/>
          <w:tab w:val="num" w:pos="720"/>
          <w:tab w:val="num" w:pos="851"/>
          <w:tab w:val="left" w:pos="20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Методические рекомендации по </w:t>
      </w:r>
      <w:r w:rsidR="008F3AEC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 xml:space="preserve">проведению мероприятий, направленных на увеличение количества участников конкурентных процедур определения поставщиков (подрядчиков, исполнителей) при осуществлении закупок муниципальными заказчиками муниципального образования муниципального района «Сосногорск» согласно приложению к настоящему </w:t>
      </w:r>
      <w:r w:rsidRPr="00EE7C90">
        <w:rPr>
          <w:sz w:val="28"/>
          <w:szCs w:val="28"/>
        </w:rPr>
        <w:t>постановлению.</w:t>
      </w:r>
    </w:p>
    <w:p w:rsidR="00BA4185" w:rsidRDefault="008F3AEC" w:rsidP="00101F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2D67" w:rsidRPr="009F38EE">
        <w:rPr>
          <w:sz w:val="28"/>
          <w:szCs w:val="28"/>
        </w:rPr>
        <w:t xml:space="preserve">. </w:t>
      </w:r>
      <w:r w:rsidR="00BA4185" w:rsidRPr="009F38EE">
        <w:rPr>
          <w:sz w:val="28"/>
          <w:szCs w:val="28"/>
        </w:rPr>
        <w:t xml:space="preserve">Настоящее постановление вступает в силу со дня его </w:t>
      </w:r>
      <w:r w:rsidR="00BA4185">
        <w:rPr>
          <w:sz w:val="28"/>
          <w:szCs w:val="28"/>
        </w:rPr>
        <w:t xml:space="preserve">принятия </w:t>
      </w:r>
      <w:r w:rsidR="00BA4185" w:rsidRPr="00E65A2C">
        <w:rPr>
          <w:rFonts w:eastAsia="Calibri"/>
          <w:sz w:val="28"/>
          <w:szCs w:val="28"/>
          <w:lang w:eastAsia="en-US"/>
        </w:rPr>
        <w:t xml:space="preserve">и </w:t>
      </w:r>
      <w:r w:rsidR="00BA4185" w:rsidRPr="009F38EE">
        <w:rPr>
          <w:sz w:val="28"/>
          <w:szCs w:val="28"/>
        </w:rPr>
        <w:t xml:space="preserve">подлежит </w:t>
      </w:r>
      <w:r w:rsidR="00BA4185" w:rsidRPr="005861FB">
        <w:rPr>
          <w:sz w:val="28"/>
          <w:szCs w:val="28"/>
        </w:rPr>
        <w:t>размещению на официальном</w:t>
      </w:r>
      <w:r w:rsidR="00BA4185">
        <w:rPr>
          <w:sz w:val="28"/>
          <w:szCs w:val="28"/>
        </w:rPr>
        <w:t xml:space="preserve"> интернет-</w:t>
      </w:r>
      <w:r w:rsidR="00BA4185" w:rsidRPr="005861FB">
        <w:rPr>
          <w:sz w:val="28"/>
          <w:szCs w:val="28"/>
        </w:rPr>
        <w:t xml:space="preserve">сайте </w:t>
      </w:r>
      <w:r w:rsidR="00BA4185">
        <w:rPr>
          <w:sz w:val="28"/>
          <w:szCs w:val="28"/>
        </w:rPr>
        <w:t>муниципального образования</w:t>
      </w:r>
      <w:r w:rsidR="00BA4185" w:rsidRPr="005861FB">
        <w:rPr>
          <w:sz w:val="28"/>
          <w:szCs w:val="28"/>
        </w:rPr>
        <w:t xml:space="preserve"> муниципального района «Сосногорск»</w:t>
      </w:r>
      <w:r w:rsidR="00BA4185" w:rsidRPr="009F38EE">
        <w:rPr>
          <w:sz w:val="28"/>
          <w:szCs w:val="28"/>
        </w:rPr>
        <w:t>.</w:t>
      </w:r>
    </w:p>
    <w:p w:rsidR="00322D67" w:rsidRDefault="008F3AEC" w:rsidP="00101F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50C">
        <w:rPr>
          <w:sz w:val="28"/>
          <w:szCs w:val="28"/>
        </w:rPr>
        <w:t xml:space="preserve">. </w:t>
      </w:r>
      <w:proofErr w:type="gramStart"/>
      <w:r w:rsidR="0045450C">
        <w:rPr>
          <w:sz w:val="28"/>
          <w:szCs w:val="28"/>
        </w:rPr>
        <w:t xml:space="preserve">Контроль </w:t>
      </w:r>
      <w:r w:rsidR="00322D67" w:rsidRPr="009F38EE">
        <w:rPr>
          <w:sz w:val="28"/>
          <w:szCs w:val="28"/>
        </w:rPr>
        <w:t>за</w:t>
      </w:r>
      <w:proofErr w:type="gramEnd"/>
      <w:r w:rsidR="00322D67" w:rsidRPr="009F38EE">
        <w:rPr>
          <w:sz w:val="28"/>
          <w:szCs w:val="28"/>
        </w:rPr>
        <w:t xml:space="preserve"> исполнением настоящего постановления возложить на</w:t>
      </w:r>
      <w:r w:rsidR="00322D67" w:rsidRPr="00C61C0F">
        <w:rPr>
          <w:sz w:val="28"/>
          <w:szCs w:val="28"/>
        </w:rPr>
        <w:t>заместителя руководителя администрации муниципального района «Сосногорск»</w:t>
      </w:r>
      <w:r w:rsidR="00F761E1">
        <w:rPr>
          <w:sz w:val="28"/>
          <w:szCs w:val="28"/>
        </w:rPr>
        <w:t xml:space="preserve"> </w:t>
      </w:r>
      <w:proofErr w:type="spellStart"/>
      <w:r w:rsidR="005A3100">
        <w:rPr>
          <w:sz w:val="28"/>
          <w:szCs w:val="28"/>
        </w:rPr>
        <w:t>Чура</w:t>
      </w:r>
      <w:proofErr w:type="spellEnd"/>
      <w:r w:rsidR="005A3100">
        <w:rPr>
          <w:sz w:val="28"/>
          <w:szCs w:val="28"/>
        </w:rPr>
        <w:t xml:space="preserve"> Е.К</w:t>
      </w:r>
      <w:r w:rsidR="00322D67" w:rsidRPr="00C61C0F">
        <w:rPr>
          <w:sz w:val="28"/>
          <w:szCs w:val="28"/>
        </w:rPr>
        <w:t>.</w:t>
      </w:r>
    </w:p>
    <w:p w:rsidR="00F761E1" w:rsidRDefault="00F761E1" w:rsidP="00BA4185">
      <w:pPr>
        <w:rPr>
          <w:bCs/>
          <w:color w:val="000000"/>
          <w:sz w:val="28"/>
          <w:szCs w:val="28"/>
        </w:rPr>
      </w:pPr>
    </w:p>
    <w:p w:rsidR="00BA4185" w:rsidRDefault="00BA4185" w:rsidP="00BA4185">
      <w:p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Исполняющий</w:t>
      </w:r>
      <w:proofErr w:type="gramEnd"/>
      <w:r>
        <w:rPr>
          <w:bCs/>
          <w:color w:val="000000"/>
          <w:sz w:val="28"/>
          <w:szCs w:val="28"/>
        </w:rPr>
        <w:t xml:space="preserve"> обязанности </w:t>
      </w:r>
    </w:p>
    <w:p w:rsidR="00F761E1" w:rsidRPr="00F761E1" w:rsidRDefault="00BA4185" w:rsidP="00F761E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Главы муниципального района «Сосногорск» - </w:t>
      </w:r>
      <w:r w:rsidR="00F761E1">
        <w:rPr>
          <w:bCs/>
          <w:color w:val="000000"/>
          <w:sz w:val="28"/>
          <w:szCs w:val="28"/>
        </w:rPr>
        <w:t xml:space="preserve"> </w:t>
      </w:r>
    </w:p>
    <w:p w:rsidR="00F761E1" w:rsidRDefault="00F761E1" w:rsidP="00F761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                                                               С.В. Дегтяренко</w:t>
      </w:r>
    </w:p>
    <w:p w:rsidR="00F24AC0" w:rsidRPr="00337C83" w:rsidRDefault="00F24AC0" w:rsidP="00F24AC0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24AC0" w:rsidRDefault="00F24AC0" w:rsidP="00F24AC0">
      <w:pPr>
        <w:widowControl w:val="0"/>
        <w:autoSpaceDE w:val="0"/>
        <w:autoSpaceDN w:val="0"/>
        <w:adjustRightInd w:val="0"/>
        <w:ind w:left="49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24AC0" w:rsidRDefault="00F24AC0" w:rsidP="00F24AC0">
      <w:pPr>
        <w:widowControl w:val="0"/>
        <w:autoSpaceDE w:val="0"/>
        <w:autoSpaceDN w:val="0"/>
        <w:adjustRightInd w:val="0"/>
        <w:ind w:left="4536" w:firstLine="42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 «Сосногорск»</w:t>
      </w:r>
    </w:p>
    <w:p w:rsidR="00F24AC0" w:rsidRPr="00FC4747" w:rsidRDefault="00F24AC0" w:rsidP="00F24AC0">
      <w:pPr>
        <w:widowControl w:val="0"/>
        <w:autoSpaceDE w:val="0"/>
        <w:autoSpaceDN w:val="0"/>
        <w:adjustRightInd w:val="0"/>
        <w:ind w:left="453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7C83">
        <w:rPr>
          <w:sz w:val="28"/>
          <w:szCs w:val="28"/>
        </w:rPr>
        <w:t>от «</w:t>
      </w:r>
      <w:r>
        <w:rPr>
          <w:sz w:val="28"/>
          <w:szCs w:val="28"/>
        </w:rPr>
        <w:t>___» ___________</w:t>
      </w:r>
      <w:r w:rsidRPr="00337C83">
        <w:rPr>
          <w:sz w:val="28"/>
          <w:szCs w:val="28"/>
        </w:rPr>
        <w:t xml:space="preserve"> 20</w:t>
      </w:r>
      <w:r>
        <w:rPr>
          <w:sz w:val="28"/>
          <w:szCs w:val="28"/>
        </w:rPr>
        <w:t>18 № _______</w:t>
      </w:r>
    </w:p>
    <w:p w:rsidR="00F24AC0" w:rsidRDefault="00F24AC0" w:rsidP="00F24AC0">
      <w:pPr>
        <w:widowControl w:val="0"/>
        <w:autoSpaceDE w:val="0"/>
        <w:autoSpaceDN w:val="0"/>
        <w:adjustRightInd w:val="0"/>
        <w:ind w:left="4247"/>
        <w:jc w:val="right"/>
        <w:rPr>
          <w:sz w:val="28"/>
          <w:szCs w:val="28"/>
        </w:rPr>
      </w:pPr>
      <w:r w:rsidRPr="00B90D50">
        <w:rPr>
          <w:sz w:val="28"/>
          <w:szCs w:val="28"/>
        </w:rPr>
        <w:t>(</w:t>
      </w:r>
      <w:r>
        <w:rPr>
          <w:sz w:val="28"/>
          <w:szCs w:val="28"/>
        </w:rPr>
        <w:t>Приложение)</w:t>
      </w:r>
    </w:p>
    <w:p w:rsidR="00F24AC0" w:rsidRDefault="00F24AC0" w:rsidP="00F24A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AC0" w:rsidRDefault="00F24AC0" w:rsidP="00F24A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и проведению мероприятий, направленных на увеличение количества участников конкурентных процедур определения поставщиков (подрядчиков, исполнителей) при осуществлении закупок муниципальными заказчиками муниципального образования муниципального района «Сосногорск»</w:t>
      </w:r>
    </w:p>
    <w:p w:rsidR="00F24AC0" w:rsidRDefault="00F24AC0" w:rsidP="00F24A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AC0" w:rsidRPr="0031424E" w:rsidRDefault="00F24AC0" w:rsidP="00F24AC0">
      <w:pPr>
        <w:shd w:val="clear" w:color="auto" w:fill="FFFFFF"/>
        <w:tabs>
          <w:tab w:val="num" w:pos="720"/>
          <w:tab w:val="left" w:pos="1456"/>
        </w:tabs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Методические рекомендации (далее – Рекомендации) разработаны в целях </w:t>
      </w:r>
      <w:r>
        <w:rPr>
          <w:sz w:val="28"/>
          <w:szCs w:val="28"/>
        </w:rPr>
        <w:t>реализации дополнительных</w:t>
      </w:r>
      <w:r w:rsidRPr="0031424E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увеличению количества участников конкурентных процедур определения поставщиков (подрядчиков, исполнителей) при осуществлении закупок муниципальными заказчиками муниципального образования муниципального района «Сосногорск»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24AC0" w:rsidRDefault="00F24AC0" w:rsidP="00F24A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Рекомендации применяются </w:t>
      </w:r>
      <w:r>
        <w:rPr>
          <w:sz w:val="28"/>
          <w:szCs w:val="28"/>
        </w:rPr>
        <w:t xml:space="preserve">муниципальными заказчиками муниципального образования муниципального района «Сосногорск» </w:t>
      </w:r>
      <w:r>
        <w:rPr>
          <w:rFonts w:eastAsia="Times New Roman"/>
          <w:sz w:val="28"/>
          <w:szCs w:val="28"/>
          <w:lang w:eastAsia="ru-RU"/>
        </w:rPr>
        <w:t>при осуществлении конкурентных процедур определения поставщиков (подрядчиков, исполнителей)</w:t>
      </w:r>
      <w:r w:rsidR="00B62D79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с учетом особенностей осуществляемых ими закупок,</w:t>
      </w:r>
      <w:r w:rsidR="004709B4" w:rsidRPr="004709B4">
        <w:rPr>
          <w:rFonts w:eastAsia="Times New Roman"/>
          <w:sz w:val="28"/>
          <w:szCs w:val="28"/>
          <w:lang w:eastAsia="ru-RU"/>
        </w:rPr>
        <w:t xml:space="preserve"> </w:t>
      </w:r>
      <w:r w:rsidR="004709B4">
        <w:rPr>
          <w:rFonts w:eastAsia="Times New Roman"/>
          <w:sz w:val="28"/>
          <w:szCs w:val="28"/>
          <w:lang w:eastAsia="ru-RU"/>
        </w:rPr>
        <w:t>в соответствии с Таблицей 1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24AC0" w:rsidRDefault="00F24AC0" w:rsidP="00F24A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Рекомендации описывают мероприятия, </w:t>
      </w:r>
      <w:r>
        <w:rPr>
          <w:sz w:val="28"/>
          <w:szCs w:val="28"/>
        </w:rPr>
        <w:t xml:space="preserve">направленные на увеличение количества участников конкурентных процедур определения поставщиков (подрядчиков, исполнителей) при осуществлении закупок муниципальными заказчиками муниципального образования муниципального района «Сосногорск», и реализующие соблюдение принципа обеспечения конкуренции, установленного статьей 8 Федерального закона </w:t>
      </w:r>
      <w:r w:rsidRPr="0031424E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31424E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</w:t>
      </w:r>
      <w:proofErr w:type="gramEnd"/>
      <w:r w:rsidRPr="0031424E">
        <w:rPr>
          <w:sz w:val="28"/>
          <w:szCs w:val="28"/>
        </w:rPr>
        <w:t xml:space="preserve"> муниципальных нужд»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24AC0" w:rsidRDefault="00F24AC0" w:rsidP="00F761E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24AC0" w:rsidSect="00A376FE">
          <w:pgSz w:w="12240" w:h="15840"/>
          <w:pgMar w:top="851" w:right="850" w:bottom="993" w:left="1418" w:header="720" w:footer="720" w:gutter="0"/>
          <w:cols w:space="720"/>
        </w:sectPr>
      </w:pPr>
    </w:p>
    <w:p w:rsidR="00F24AC0" w:rsidRDefault="00F24AC0" w:rsidP="00F24AC0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8F3AEC" w:rsidRDefault="00F24AC0" w:rsidP="00F24AC0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Таблица 1</w:t>
      </w:r>
    </w:p>
    <w:p w:rsidR="00F24AC0" w:rsidRDefault="00F24AC0" w:rsidP="00F24AC0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24AC0" w:rsidRDefault="00F24AC0" w:rsidP="00F24AC0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Мероприятия, направленные на увеличение количества участников конкурентных процедур определения поставщиков (подрядчиков, исполнителей) при осуществлении закупок муниципальными заказчиками муниципального образования муниципального района «Сосногорск»</w:t>
      </w:r>
    </w:p>
    <w:p w:rsidR="00F24AC0" w:rsidRDefault="00F24AC0" w:rsidP="00D943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693"/>
        <w:gridCol w:w="4819"/>
      </w:tblGrid>
      <w:tr w:rsidR="008F3AEC" w:rsidRPr="003B0419" w:rsidTr="00B62D79">
        <w:trPr>
          <w:trHeight w:val="435"/>
        </w:trPr>
        <w:tc>
          <w:tcPr>
            <w:tcW w:w="534" w:type="dxa"/>
          </w:tcPr>
          <w:p w:rsidR="00C92424" w:rsidRPr="00CC58CE" w:rsidRDefault="00C92424" w:rsidP="007A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92424" w:rsidRPr="003B0419" w:rsidRDefault="00C92424" w:rsidP="007A7312">
            <w:pPr>
              <w:jc w:val="both"/>
              <w:rPr>
                <w:sz w:val="28"/>
                <w:szCs w:val="28"/>
              </w:rPr>
            </w:pPr>
            <w:r w:rsidRPr="003B041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C92424" w:rsidRPr="003B0419" w:rsidRDefault="00C92424" w:rsidP="007A7312">
            <w:pPr>
              <w:jc w:val="both"/>
              <w:rPr>
                <w:sz w:val="28"/>
                <w:szCs w:val="28"/>
              </w:rPr>
            </w:pPr>
            <w:r w:rsidRPr="003B0419">
              <w:rPr>
                <w:sz w:val="28"/>
                <w:szCs w:val="28"/>
              </w:rPr>
              <w:t>издержки</w:t>
            </w:r>
          </w:p>
        </w:tc>
        <w:tc>
          <w:tcPr>
            <w:tcW w:w="4819" w:type="dxa"/>
          </w:tcPr>
          <w:p w:rsidR="00C92424" w:rsidRPr="003B0419" w:rsidRDefault="00C92424" w:rsidP="007A7312">
            <w:pPr>
              <w:jc w:val="both"/>
              <w:rPr>
                <w:sz w:val="28"/>
                <w:szCs w:val="28"/>
              </w:rPr>
            </w:pPr>
            <w:r w:rsidRPr="003B0419">
              <w:rPr>
                <w:sz w:val="28"/>
                <w:szCs w:val="28"/>
              </w:rPr>
              <w:t>ожидаемый результат</w:t>
            </w:r>
          </w:p>
        </w:tc>
      </w:tr>
      <w:tr w:rsidR="008F3AEC" w:rsidRPr="003B0419" w:rsidTr="00B62D79">
        <w:trPr>
          <w:trHeight w:val="3360"/>
        </w:trPr>
        <w:tc>
          <w:tcPr>
            <w:tcW w:w="534" w:type="dxa"/>
          </w:tcPr>
          <w:p w:rsidR="00C92424" w:rsidRPr="003B0419" w:rsidRDefault="00C92424" w:rsidP="007A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92424" w:rsidRPr="003B0419" w:rsidRDefault="00C92424" w:rsidP="00D73D05">
            <w:pPr>
              <w:jc w:val="both"/>
              <w:rPr>
                <w:sz w:val="28"/>
                <w:szCs w:val="28"/>
              </w:rPr>
            </w:pPr>
            <w:r w:rsidRPr="003B0419">
              <w:rPr>
                <w:sz w:val="28"/>
                <w:szCs w:val="28"/>
              </w:rPr>
              <w:t xml:space="preserve">анализ ошибок </w:t>
            </w:r>
            <w:r w:rsidR="00631D13">
              <w:rPr>
                <w:sz w:val="28"/>
                <w:szCs w:val="28"/>
              </w:rPr>
              <w:t xml:space="preserve">в </w:t>
            </w:r>
            <w:r w:rsidRPr="003B0419">
              <w:rPr>
                <w:sz w:val="28"/>
                <w:szCs w:val="28"/>
              </w:rPr>
              <w:t>заяв</w:t>
            </w:r>
            <w:r w:rsidR="00631D13">
              <w:rPr>
                <w:sz w:val="28"/>
                <w:szCs w:val="28"/>
              </w:rPr>
              <w:t>ках</w:t>
            </w:r>
            <w:r w:rsidRPr="003B0419">
              <w:rPr>
                <w:sz w:val="28"/>
                <w:szCs w:val="28"/>
              </w:rPr>
              <w:t xml:space="preserve"> участников закупок с целью их обобщения и </w:t>
            </w:r>
            <w:proofErr w:type="gramStart"/>
            <w:r w:rsidRPr="003B0419">
              <w:rPr>
                <w:sz w:val="28"/>
                <w:szCs w:val="28"/>
              </w:rPr>
              <w:t>выявления</w:t>
            </w:r>
            <w:proofErr w:type="gramEnd"/>
            <w:r w:rsidRPr="003B0419">
              <w:rPr>
                <w:sz w:val="28"/>
                <w:szCs w:val="28"/>
              </w:rPr>
              <w:t xml:space="preserve"> наиболее распространенных для: </w:t>
            </w:r>
            <w:r>
              <w:rPr>
                <w:sz w:val="28"/>
                <w:szCs w:val="28"/>
              </w:rPr>
              <w:t>консультирования</w:t>
            </w:r>
            <w:r w:rsidRPr="003B0419">
              <w:rPr>
                <w:sz w:val="28"/>
                <w:szCs w:val="28"/>
              </w:rPr>
              <w:t xml:space="preserve"> участников </w:t>
            </w:r>
            <w:r w:rsidR="004709B4">
              <w:rPr>
                <w:sz w:val="28"/>
                <w:szCs w:val="28"/>
              </w:rPr>
              <w:t xml:space="preserve">на этапе планирования закупок </w:t>
            </w:r>
            <w:r w:rsidRPr="003B0419">
              <w:rPr>
                <w:sz w:val="28"/>
                <w:szCs w:val="28"/>
              </w:rPr>
              <w:t>и вовлечения большего их количества в конкурентную среду</w:t>
            </w:r>
            <w:r w:rsidR="00D73D05">
              <w:rPr>
                <w:sz w:val="28"/>
                <w:szCs w:val="28"/>
              </w:rPr>
              <w:t xml:space="preserve">; </w:t>
            </w:r>
            <w:r w:rsidRPr="003B0419">
              <w:rPr>
                <w:sz w:val="28"/>
                <w:szCs w:val="28"/>
              </w:rPr>
              <w:t>возможного упрощения документации</w:t>
            </w:r>
            <w:r>
              <w:rPr>
                <w:sz w:val="28"/>
                <w:szCs w:val="28"/>
              </w:rPr>
              <w:t xml:space="preserve"> о </w:t>
            </w:r>
            <w:r w:rsidR="00631D13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закупок</w:t>
            </w:r>
            <w:r w:rsidR="00630F09">
              <w:rPr>
                <w:sz w:val="28"/>
                <w:szCs w:val="28"/>
              </w:rPr>
              <w:t xml:space="preserve"> с выработкой рекомендаций поставщикам (подрядчикам, исполнителям) по участию в закупках (формированию заявок)</w:t>
            </w:r>
          </w:p>
        </w:tc>
        <w:tc>
          <w:tcPr>
            <w:tcW w:w="2693" w:type="dxa"/>
          </w:tcPr>
          <w:p w:rsidR="00C92424" w:rsidRPr="003B0419" w:rsidRDefault="00C92424" w:rsidP="007A7312">
            <w:pPr>
              <w:jc w:val="both"/>
              <w:rPr>
                <w:sz w:val="28"/>
                <w:szCs w:val="28"/>
              </w:rPr>
            </w:pPr>
            <w:r w:rsidRPr="003B0419">
              <w:rPr>
                <w:sz w:val="28"/>
                <w:szCs w:val="28"/>
              </w:rPr>
              <w:t>низкие</w:t>
            </w:r>
          </w:p>
        </w:tc>
        <w:tc>
          <w:tcPr>
            <w:tcW w:w="4819" w:type="dxa"/>
          </w:tcPr>
          <w:p w:rsidR="00C92424" w:rsidRDefault="00C92424" w:rsidP="007A7312">
            <w:pPr>
              <w:jc w:val="both"/>
              <w:rPr>
                <w:sz w:val="28"/>
                <w:szCs w:val="28"/>
              </w:rPr>
            </w:pPr>
            <w:r w:rsidRPr="003B0419">
              <w:rPr>
                <w:sz w:val="28"/>
                <w:szCs w:val="28"/>
              </w:rPr>
              <w:t xml:space="preserve">от низкого до высокого, в зависимости </w:t>
            </w:r>
            <w:r>
              <w:rPr>
                <w:sz w:val="28"/>
                <w:szCs w:val="28"/>
              </w:rPr>
              <w:t xml:space="preserve">от </w:t>
            </w:r>
            <w:r w:rsidRPr="003B0419">
              <w:rPr>
                <w:sz w:val="28"/>
                <w:szCs w:val="28"/>
              </w:rPr>
              <w:t>уровня организации труда у участников (</w:t>
            </w:r>
            <w:proofErr w:type="spellStart"/>
            <w:proofErr w:type="gramStart"/>
            <w:r w:rsidRPr="003B0419">
              <w:rPr>
                <w:sz w:val="28"/>
                <w:szCs w:val="28"/>
              </w:rPr>
              <w:t>профес</w:t>
            </w:r>
            <w:r w:rsidR="00D73D05">
              <w:rPr>
                <w:sz w:val="28"/>
                <w:szCs w:val="28"/>
              </w:rPr>
              <w:t>-</w:t>
            </w:r>
            <w:r w:rsidRPr="003B0419">
              <w:rPr>
                <w:sz w:val="28"/>
                <w:szCs w:val="28"/>
              </w:rPr>
              <w:t>сионализма</w:t>
            </w:r>
            <w:proofErr w:type="spellEnd"/>
            <w:proofErr w:type="gramEnd"/>
            <w:r w:rsidRPr="003B0419">
              <w:rPr>
                <w:sz w:val="28"/>
                <w:szCs w:val="28"/>
              </w:rPr>
              <w:t xml:space="preserve"> и </w:t>
            </w:r>
            <w:proofErr w:type="spellStart"/>
            <w:r w:rsidRPr="003B0419">
              <w:rPr>
                <w:sz w:val="28"/>
                <w:szCs w:val="28"/>
              </w:rPr>
              <w:t>мотиви</w:t>
            </w:r>
            <w:r w:rsidR="00D73D05">
              <w:rPr>
                <w:sz w:val="28"/>
                <w:szCs w:val="28"/>
              </w:rPr>
              <w:t>рован</w:t>
            </w:r>
            <w:r w:rsidRPr="003B0419">
              <w:rPr>
                <w:sz w:val="28"/>
                <w:szCs w:val="28"/>
              </w:rPr>
              <w:t>ности</w:t>
            </w:r>
            <w:proofErr w:type="spellEnd"/>
            <w:r w:rsidRPr="003B0419">
              <w:rPr>
                <w:sz w:val="28"/>
                <w:szCs w:val="28"/>
              </w:rPr>
              <w:t xml:space="preserve"> персонала)</w:t>
            </w:r>
          </w:p>
          <w:p w:rsidR="00630F09" w:rsidRDefault="00D73D05" w:rsidP="00D73D0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высокий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0F09">
              <w:rPr>
                <w:sz w:val="28"/>
                <w:szCs w:val="28"/>
              </w:rPr>
              <w:t xml:space="preserve">(снижение </w:t>
            </w:r>
            <w:proofErr w:type="spellStart"/>
            <w:r w:rsidR="00630F09">
              <w:rPr>
                <w:sz w:val="28"/>
                <w:szCs w:val="28"/>
              </w:rPr>
              <w:t>административ</w:t>
            </w:r>
            <w:r>
              <w:rPr>
                <w:sz w:val="28"/>
                <w:szCs w:val="28"/>
              </w:rPr>
              <w:t>-</w:t>
            </w:r>
            <w:r w:rsidR="00630F09">
              <w:rPr>
                <w:sz w:val="28"/>
                <w:szCs w:val="28"/>
              </w:rPr>
              <w:t>ных</w:t>
            </w:r>
            <w:proofErr w:type="spellEnd"/>
            <w:r w:rsidR="00630F09">
              <w:rPr>
                <w:sz w:val="28"/>
                <w:szCs w:val="28"/>
              </w:rPr>
              <w:t xml:space="preserve"> барьеров для участия в закупках)</w:t>
            </w:r>
          </w:p>
          <w:p w:rsidR="007838B4" w:rsidRPr="003B0419" w:rsidRDefault="007838B4" w:rsidP="007A7312">
            <w:pPr>
              <w:jc w:val="both"/>
              <w:rPr>
                <w:sz w:val="28"/>
                <w:szCs w:val="28"/>
              </w:rPr>
            </w:pPr>
          </w:p>
        </w:tc>
      </w:tr>
      <w:tr w:rsidR="008F3AEC" w:rsidRPr="003B0419" w:rsidTr="00B62D79">
        <w:trPr>
          <w:trHeight w:val="2671"/>
        </w:trPr>
        <w:tc>
          <w:tcPr>
            <w:tcW w:w="534" w:type="dxa"/>
          </w:tcPr>
          <w:p w:rsidR="00C92424" w:rsidRPr="00792604" w:rsidRDefault="00C92424" w:rsidP="007A73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92424" w:rsidRPr="00C2489A" w:rsidRDefault="00C92424" w:rsidP="007838B4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 xml:space="preserve">повышение качества планирования закупок </w:t>
            </w:r>
            <w:r w:rsidR="004709B4">
              <w:rPr>
                <w:sz w:val="28"/>
                <w:szCs w:val="28"/>
              </w:rPr>
              <w:t xml:space="preserve">муниципальными </w:t>
            </w:r>
            <w:r w:rsidRPr="00C2489A">
              <w:rPr>
                <w:sz w:val="28"/>
                <w:szCs w:val="28"/>
              </w:rPr>
              <w:t xml:space="preserve">заказчиками с целью: заблаговременной публикации извещений о </w:t>
            </w:r>
            <w:r w:rsidR="007838B4">
              <w:rPr>
                <w:sz w:val="28"/>
                <w:szCs w:val="28"/>
              </w:rPr>
              <w:t xml:space="preserve">проведении </w:t>
            </w:r>
            <w:r w:rsidRPr="00C2489A">
              <w:rPr>
                <w:sz w:val="28"/>
                <w:szCs w:val="28"/>
              </w:rPr>
              <w:t>закуп</w:t>
            </w:r>
            <w:r w:rsidR="007838B4">
              <w:rPr>
                <w:sz w:val="28"/>
                <w:szCs w:val="28"/>
              </w:rPr>
              <w:t>ок</w:t>
            </w:r>
            <w:r w:rsidRPr="00C2489A">
              <w:rPr>
                <w:sz w:val="28"/>
                <w:szCs w:val="28"/>
              </w:rPr>
              <w:t xml:space="preserve"> и увеличения времени участникам на подготовку и подачу своих заявок; увеличения времени победителям на исполнение контрактов</w:t>
            </w:r>
            <w:r w:rsidR="004709B4">
              <w:rPr>
                <w:sz w:val="28"/>
                <w:szCs w:val="28"/>
              </w:rPr>
              <w:t>;</w:t>
            </w:r>
            <w:r w:rsidRPr="00C2489A">
              <w:rPr>
                <w:sz w:val="28"/>
                <w:szCs w:val="28"/>
              </w:rPr>
              <w:t xml:space="preserve"> возможности планирования и проведения совместных закупок</w:t>
            </w:r>
          </w:p>
        </w:tc>
        <w:tc>
          <w:tcPr>
            <w:tcW w:w="2693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proofErr w:type="gramStart"/>
            <w:r w:rsidRPr="00C2489A">
              <w:rPr>
                <w:sz w:val="28"/>
                <w:szCs w:val="28"/>
              </w:rPr>
              <w:t>низкие</w:t>
            </w:r>
            <w:proofErr w:type="gramEnd"/>
            <w:r w:rsidRPr="00C2489A">
              <w:rPr>
                <w:sz w:val="28"/>
                <w:szCs w:val="28"/>
              </w:rPr>
              <w:t xml:space="preserve"> (метод </w:t>
            </w:r>
            <w:proofErr w:type="spellStart"/>
            <w:r w:rsidRPr="00C2489A">
              <w:rPr>
                <w:sz w:val="28"/>
                <w:szCs w:val="28"/>
              </w:rPr>
              <w:t>трудноприменим</w:t>
            </w:r>
            <w:proofErr w:type="spellEnd"/>
            <w:r w:rsidRPr="00C2489A">
              <w:rPr>
                <w:sz w:val="28"/>
                <w:szCs w:val="28"/>
              </w:rPr>
              <w:t xml:space="preserve"> в условиях недостаточной информированности о будущих </w:t>
            </w:r>
            <w:proofErr w:type="spellStart"/>
            <w:r w:rsidRPr="00C2489A">
              <w:rPr>
                <w:sz w:val="28"/>
                <w:szCs w:val="28"/>
              </w:rPr>
              <w:t>реше</w:t>
            </w:r>
            <w:r w:rsidR="00B62D79">
              <w:rPr>
                <w:sz w:val="28"/>
                <w:szCs w:val="28"/>
              </w:rPr>
              <w:t>-</w:t>
            </w:r>
            <w:r w:rsidRPr="00C2489A">
              <w:rPr>
                <w:sz w:val="28"/>
                <w:szCs w:val="28"/>
              </w:rPr>
              <w:t>ниях</w:t>
            </w:r>
            <w:proofErr w:type="spellEnd"/>
            <w:r w:rsidRPr="00C2489A">
              <w:rPr>
                <w:sz w:val="28"/>
                <w:szCs w:val="28"/>
              </w:rPr>
              <w:t xml:space="preserve"> вышестоящих инстанций)</w:t>
            </w:r>
          </w:p>
        </w:tc>
        <w:tc>
          <w:tcPr>
            <w:tcW w:w="4819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proofErr w:type="gramStart"/>
            <w:r w:rsidRPr="00C2489A">
              <w:rPr>
                <w:sz w:val="28"/>
                <w:szCs w:val="28"/>
              </w:rPr>
              <w:t>высокий (повышение конкуренции за счет лучшего информирования потенциальных участников и создания необходимых условий для заявления на определение поставщика (исполнителя, подрядчика) большего количества участников)</w:t>
            </w:r>
            <w:proofErr w:type="gramEnd"/>
          </w:p>
        </w:tc>
      </w:tr>
      <w:tr w:rsidR="008F3AEC" w:rsidRPr="003B0419" w:rsidTr="00B62D79">
        <w:trPr>
          <w:trHeight w:val="1688"/>
        </w:trPr>
        <w:tc>
          <w:tcPr>
            <w:tcW w:w="534" w:type="dxa"/>
          </w:tcPr>
          <w:p w:rsidR="00C92424" w:rsidRPr="003B0419" w:rsidRDefault="00C92424" w:rsidP="007A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>установка требований к обеспечению заявок и контрактов должна производиться обоснованно, т.е. не приводить к увеличению цены контрактов и не отпугивать участников закупок, но в тоже время обеспечивать защиту интересов заказчиков</w:t>
            </w:r>
          </w:p>
        </w:tc>
        <w:tc>
          <w:tcPr>
            <w:tcW w:w="2693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>низкие</w:t>
            </w:r>
          </w:p>
        </w:tc>
        <w:tc>
          <w:tcPr>
            <w:tcW w:w="4819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proofErr w:type="gramStart"/>
            <w:r w:rsidRPr="00C2489A">
              <w:rPr>
                <w:sz w:val="28"/>
                <w:szCs w:val="28"/>
              </w:rPr>
              <w:t>высокий</w:t>
            </w:r>
            <w:proofErr w:type="gramEnd"/>
            <w:r w:rsidRPr="00C2489A">
              <w:rPr>
                <w:sz w:val="28"/>
                <w:szCs w:val="28"/>
              </w:rPr>
              <w:t xml:space="preserve"> (снижение рисков заказчика)</w:t>
            </w:r>
          </w:p>
        </w:tc>
      </w:tr>
      <w:tr w:rsidR="008F3AEC" w:rsidRPr="003B0419" w:rsidTr="00B62D79">
        <w:trPr>
          <w:trHeight w:val="1693"/>
        </w:trPr>
        <w:tc>
          <w:tcPr>
            <w:tcW w:w="534" w:type="dxa"/>
          </w:tcPr>
          <w:p w:rsidR="00C92424" w:rsidRDefault="00C92424" w:rsidP="007A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>создание, ведение и обновление справочной базы потенциальных поставщиков (исполнителей, подрядчиков) для ее использования при: проработке рынка; приглашения к участию в конкурентных закупках</w:t>
            </w:r>
          </w:p>
        </w:tc>
        <w:tc>
          <w:tcPr>
            <w:tcW w:w="2693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 xml:space="preserve">низкие </w:t>
            </w:r>
          </w:p>
        </w:tc>
        <w:tc>
          <w:tcPr>
            <w:tcW w:w="4819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proofErr w:type="gramStart"/>
            <w:r w:rsidRPr="00C2489A">
              <w:rPr>
                <w:sz w:val="28"/>
                <w:szCs w:val="28"/>
              </w:rPr>
              <w:t>высокий</w:t>
            </w:r>
            <w:proofErr w:type="gramEnd"/>
            <w:r w:rsidRPr="00C2489A">
              <w:rPr>
                <w:sz w:val="28"/>
                <w:szCs w:val="28"/>
              </w:rPr>
              <w:t xml:space="preserve"> (лучшая проработка рыночной ситуации, привлечение большего количества участников)</w:t>
            </w:r>
          </w:p>
        </w:tc>
      </w:tr>
      <w:tr w:rsidR="008F3AEC" w:rsidRPr="003B0419" w:rsidTr="00B62D79">
        <w:trPr>
          <w:trHeight w:val="2397"/>
        </w:trPr>
        <w:tc>
          <w:tcPr>
            <w:tcW w:w="534" w:type="dxa"/>
          </w:tcPr>
          <w:p w:rsidR="00C92424" w:rsidRDefault="00C92424" w:rsidP="007A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>введение в практику активного привлечения в документальной форме участников к закупкам с целью, в том числе, снижения доли несостоявшихся процедур закупок и потерь времени на согласования заключения контрактов с контрольным органом или проведения повторных процедур</w:t>
            </w:r>
          </w:p>
        </w:tc>
        <w:tc>
          <w:tcPr>
            <w:tcW w:w="2693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>низкие</w:t>
            </w:r>
          </w:p>
        </w:tc>
        <w:tc>
          <w:tcPr>
            <w:tcW w:w="4819" w:type="dxa"/>
          </w:tcPr>
          <w:p w:rsidR="00C92424" w:rsidRPr="00C2489A" w:rsidRDefault="00C92424" w:rsidP="007A7312">
            <w:pPr>
              <w:jc w:val="both"/>
              <w:rPr>
                <w:sz w:val="28"/>
                <w:szCs w:val="28"/>
              </w:rPr>
            </w:pPr>
            <w:r w:rsidRPr="00C2489A">
              <w:rPr>
                <w:sz w:val="28"/>
                <w:szCs w:val="28"/>
              </w:rPr>
              <w:t xml:space="preserve">от низкого до высокого (в зависимости от характера </w:t>
            </w:r>
            <w:proofErr w:type="gramStart"/>
            <w:r w:rsidRPr="00C2489A">
              <w:rPr>
                <w:sz w:val="28"/>
                <w:szCs w:val="28"/>
              </w:rPr>
              <w:t>закупаемых</w:t>
            </w:r>
            <w:proofErr w:type="gramEnd"/>
            <w:r w:rsidRPr="00C2489A">
              <w:rPr>
                <w:sz w:val="28"/>
                <w:szCs w:val="28"/>
              </w:rPr>
              <w:t xml:space="preserve"> товара, работы, услуги, степени монополизации рынка)</w:t>
            </w:r>
          </w:p>
        </w:tc>
      </w:tr>
    </w:tbl>
    <w:p w:rsidR="00C92424" w:rsidRPr="00B90D50" w:rsidRDefault="00C92424" w:rsidP="00C924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424" w:rsidRDefault="00C92424" w:rsidP="00C9242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рекомендуемым мероприятиям (</w:t>
      </w:r>
      <w:proofErr w:type="spellStart"/>
      <w:r>
        <w:rPr>
          <w:sz w:val="28"/>
          <w:szCs w:val="28"/>
        </w:rPr>
        <w:t>попунктно</w:t>
      </w:r>
      <w:proofErr w:type="spellEnd"/>
      <w:r>
        <w:rPr>
          <w:sz w:val="28"/>
          <w:szCs w:val="28"/>
        </w:rPr>
        <w:t>):</w:t>
      </w:r>
    </w:p>
    <w:p w:rsidR="00C92424" w:rsidRPr="00D73D05" w:rsidRDefault="00630F09" w:rsidP="00D73D0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92424" w:rsidRPr="00C2489A">
        <w:rPr>
          <w:color w:val="000000"/>
          <w:sz w:val="28"/>
          <w:szCs w:val="28"/>
        </w:rPr>
        <w:t xml:space="preserve">онимание действующего законодательства о контрактной системе в сфере закупок чрезвычайно тяжело для неспециалистов, поэтому </w:t>
      </w:r>
      <w:proofErr w:type="gramStart"/>
      <w:r>
        <w:rPr>
          <w:color w:val="000000"/>
          <w:sz w:val="28"/>
          <w:szCs w:val="28"/>
        </w:rPr>
        <w:t>действия</w:t>
      </w:r>
      <w:r w:rsidR="00C92424" w:rsidRPr="00C2489A">
        <w:rPr>
          <w:color w:val="000000"/>
          <w:sz w:val="28"/>
          <w:szCs w:val="28"/>
        </w:rPr>
        <w:t xml:space="preserve"> заказчика</w:t>
      </w:r>
      <w:r>
        <w:rPr>
          <w:color w:val="000000"/>
          <w:sz w:val="28"/>
          <w:szCs w:val="28"/>
        </w:rPr>
        <w:t>, уполномоченного органа</w:t>
      </w:r>
      <w:r w:rsidR="00C92424" w:rsidRPr="00C24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 быть направлены</w:t>
      </w:r>
      <w:proofErr w:type="gramEnd"/>
      <w:r w:rsidR="00C92424" w:rsidRPr="00C24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C92424" w:rsidRPr="00C2489A">
        <w:rPr>
          <w:color w:val="000000"/>
          <w:sz w:val="28"/>
          <w:szCs w:val="28"/>
        </w:rPr>
        <w:t xml:space="preserve"> </w:t>
      </w:r>
      <w:r w:rsidR="00D73D05" w:rsidRPr="00C2489A">
        <w:rPr>
          <w:color w:val="000000"/>
          <w:sz w:val="28"/>
          <w:szCs w:val="28"/>
        </w:rPr>
        <w:t>снижение искусств</w:t>
      </w:r>
      <w:r w:rsidR="00D73D05">
        <w:rPr>
          <w:color w:val="000000"/>
          <w:sz w:val="28"/>
          <w:szCs w:val="28"/>
        </w:rPr>
        <w:t xml:space="preserve">енных административных барьеров </w:t>
      </w:r>
      <w:r w:rsidR="00C92424" w:rsidRPr="00D73D05">
        <w:rPr>
          <w:color w:val="000000"/>
          <w:sz w:val="28"/>
          <w:szCs w:val="28"/>
        </w:rPr>
        <w:t>для потенциальных участников закупок;</w:t>
      </w:r>
    </w:p>
    <w:p w:rsidR="00C92424" w:rsidRPr="00622152" w:rsidRDefault="00630F09" w:rsidP="00C92424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92424" w:rsidRPr="00C2489A">
        <w:rPr>
          <w:color w:val="000000"/>
          <w:sz w:val="28"/>
          <w:szCs w:val="28"/>
        </w:rPr>
        <w:t xml:space="preserve">ля выхода на рынок с конкурентоспособным предложением участнику </w:t>
      </w:r>
      <w:r w:rsidR="004709B4">
        <w:rPr>
          <w:color w:val="000000"/>
          <w:sz w:val="28"/>
          <w:szCs w:val="28"/>
        </w:rPr>
        <w:t xml:space="preserve">закупки </w:t>
      </w:r>
      <w:r w:rsidR="00C92424" w:rsidRPr="00C2489A">
        <w:rPr>
          <w:color w:val="000000"/>
          <w:sz w:val="28"/>
          <w:szCs w:val="28"/>
        </w:rPr>
        <w:t xml:space="preserve">необходимо предоставление своевременной информации для планирования своих организационных, кадровых и финансовых ресурсов, подготовки производственной базы, накопления материальных запасов. Зачастую специалист, на которого возложены обязанности по проведению закупок в организации не имеет достаточной информации о планах руководства и вышестоящих органов по перспективам производственно-хозяйственной деятельности и выделению финансирования, что препятствует </w:t>
      </w:r>
      <w:r w:rsidR="00C92424">
        <w:rPr>
          <w:color w:val="000000"/>
          <w:sz w:val="28"/>
          <w:szCs w:val="28"/>
        </w:rPr>
        <w:t xml:space="preserve">своевременному </w:t>
      </w:r>
      <w:r w:rsidR="00C92424" w:rsidRPr="00622152">
        <w:rPr>
          <w:color w:val="000000"/>
          <w:sz w:val="28"/>
          <w:szCs w:val="28"/>
        </w:rPr>
        <w:t>формированию планов-графиков закупок. Выход из такой ситуации видится в повышении уровня компетенции специалистов по закупкам путем вовлечения их в работу над перспективными проектами на более ранних этапах;</w:t>
      </w:r>
    </w:p>
    <w:p w:rsidR="00C92424" w:rsidRPr="00C2489A" w:rsidRDefault="00630F09" w:rsidP="00C92424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92424" w:rsidRPr="00C2489A">
        <w:rPr>
          <w:color w:val="000000"/>
          <w:sz w:val="28"/>
          <w:szCs w:val="28"/>
        </w:rPr>
        <w:t>едостаточная финансовая защищенность интересов заказчика может привести к нарушению его деятельности, в то же время излишнее финансовое бремя, возлагаемое на участников, может привести к увеличению цены закупки выше рыночной на стоимость кредитных ресурсов, либо может расцениваться потенциальными участниками как действия заказчика, направленные на ограничение конкуренции («отсечение», нежелательность своего участия);</w:t>
      </w:r>
    </w:p>
    <w:p w:rsidR="00C92424" w:rsidRPr="00C2489A" w:rsidRDefault="00630F09" w:rsidP="00C92424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</w:t>
      </w:r>
      <w:r w:rsidR="00C92424" w:rsidRPr="00C2489A">
        <w:rPr>
          <w:color w:val="000000"/>
          <w:sz w:val="28"/>
          <w:szCs w:val="28"/>
        </w:rPr>
        <w:t xml:space="preserve">редставляется такой справочник потенциальных поставщиков (подрядчиков, исполнителей) удобнее вести в формате </w:t>
      </w:r>
      <w:proofErr w:type="spellStart"/>
      <w:r w:rsidR="00C92424" w:rsidRPr="00C2489A">
        <w:rPr>
          <w:color w:val="000000"/>
          <w:sz w:val="28"/>
          <w:szCs w:val="28"/>
        </w:rPr>
        <w:t>Microsoft</w:t>
      </w:r>
      <w:proofErr w:type="spellEnd"/>
      <w:r w:rsidR="00C92424" w:rsidRPr="00C2489A">
        <w:rPr>
          <w:color w:val="000000"/>
          <w:sz w:val="28"/>
          <w:szCs w:val="28"/>
        </w:rPr>
        <w:t xml:space="preserve"> </w:t>
      </w:r>
      <w:proofErr w:type="spellStart"/>
      <w:r w:rsidR="00C92424" w:rsidRPr="00C2489A">
        <w:rPr>
          <w:color w:val="000000"/>
          <w:sz w:val="28"/>
          <w:szCs w:val="28"/>
        </w:rPr>
        <w:t>Ex</w:t>
      </w:r>
      <w:proofErr w:type="spellEnd"/>
      <w:r w:rsidR="00C92424" w:rsidRPr="00C2489A">
        <w:rPr>
          <w:color w:val="000000"/>
          <w:sz w:val="28"/>
          <w:szCs w:val="28"/>
          <w:lang w:val="en-US"/>
        </w:rPr>
        <w:t>c</w:t>
      </w:r>
      <w:proofErr w:type="spellStart"/>
      <w:r w:rsidR="00C92424" w:rsidRPr="00C2489A">
        <w:rPr>
          <w:color w:val="000000"/>
          <w:sz w:val="28"/>
          <w:szCs w:val="28"/>
        </w:rPr>
        <w:t>el</w:t>
      </w:r>
      <w:proofErr w:type="spellEnd"/>
      <w:r w:rsidR="00C92424" w:rsidRPr="00C2489A">
        <w:rPr>
          <w:color w:val="000000"/>
          <w:sz w:val="28"/>
          <w:szCs w:val="28"/>
        </w:rPr>
        <w:t xml:space="preserve"> со следующими столбцами (минимально): наименование поставщика (подрядчика, исполнителя), регион, специализация (ОКПД товара, работы, услуги), телефон, факс, электронная почта, информация об аккредитации на электронной площадке.</w:t>
      </w:r>
      <w:proofErr w:type="gramEnd"/>
      <w:r w:rsidR="00C92424" w:rsidRPr="00C2489A">
        <w:rPr>
          <w:color w:val="000000"/>
          <w:sz w:val="28"/>
          <w:szCs w:val="28"/>
        </w:rPr>
        <w:t xml:space="preserve"> </w:t>
      </w:r>
      <w:r w:rsidR="004709B4">
        <w:rPr>
          <w:color w:val="000000"/>
          <w:sz w:val="28"/>
          <w:szCs w:val="28"/>
        </w:rPr>
        <w:t>Муниципальный з</w:t>
      </w:r>
      <w:r w:rsidR="00C92424" w:rsidRPr="00C2489A">
        <w:rPr>
          <w:color w:val="000000"/>
          <w:sz w:val="28"/>
          <w:szCs w:val="28"/>
        </w:rPr>
        <w:t>аказчик может также вести накопление иной информации о поставщиках, подрядчиках, исполнителях (типичные допускаемые ошибки в заявках, требующие обращения внимания участника, опыт взаимоотношений, адрес, наличие лицензий, срок окончания аккредитации на ЭТП, дополнительные контактные данные и т.п.);</w:t>
      </w:r>
    </w:p>
    <w:p w:rsidR="00C92424" w:rsidRPr="00D73D05" w:rsidRDefault="00630F09" w:rsidP="00D73D05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92424" w:rsidRPr="00C2489A">
        <w:rPr>
          <w:color w:val="000000"/>
          <w:sz w:val="28"/>
          <w:szCs w:val="28"/>
        </w:rPr>
        <w:t xml:space="preserve">окументальная форма приглашения к участию в закупке (например, </w:t>
      </w:r>
      <w:proofErr w:type="spellStart"/>
      <w:r w:rsidR="00C92424" w:rsidRPr="00C2489A">
        <w:rPr>
          <w:color w:val="000000"/>
          <w:sz w:val="28"/>
          <w:szCs w:val="28"/>
        </w:rPr>
        <w:t>факсограмма</w:t>
      </w:r>
      <w:proofErr w:type="spellEnd"/>
      <w:r w:rsidR="00C92424" w:rsidRPr="00C2489A">
        <w:rPr>
          <w:color w:val="000000"/>
          <w:sz w:val="28"/>
          <w:szCs w:val="28"/>
        </w:rPr>
        <w:t xml:space="preserve">) наиболее предпочтительна, т.к. опытным путем определено, что приглашения по телефону, сообщения на электронную почту часто игнорируются (попадают некомпетентным специалистам, забываются, недопонимаются). </w:t>
      </w:r>
      <w:proofErr w:type="gramStart"/>
      <w:r w:rsidR="00C92424" w:rsidRPr="00C2489A">
        <w:rPr>
          <w:color w:val="000000"/>
          <w:sz w:val="28"/>
          <w:szCs w:val="28"/>
        </w:rPr>
        <w:t xml:space="preserve">Такое приглашение должно быть кратким (не более одной страницы), но в тоже время должно содержать все необходимые для информирования участника и установления контакта данные (номер извещения на официальном сайте </w:t>
      </w:r>
      <w:proofErr w:type="spellStart"/>
      <w:r w:rsidR="00C92424" w:rsidRPr="00C2489A">
        <w:rPr>
          <w:color w:val="000000"/>
          <w:sz w:val="28"/>
          <w:szCs w:val="28"/>
        </w:rPr>
        <w:t>госзакупок</w:t>
      </w:r>
      <w:proofErr w:type="spellEnd"/>
      <w:r w:rsidR="00C92424" w:rsidRPr="00C2489A">
        <w:rPr>
          <w:color w:val="000000"/>
          <w:sz w:val="28"/>
          <w:szCs w:val="28"/>
        </w:rPr>
        <w:t>, способ определения поставщика (подрядчика, исполнителя), наименование (краткие характеристики) объекта закупок, дата и время окончания подачи заявок, телефон для связи, контактное лицо.</w:t>
      </w:r>
      <w:proofErr w:type="gramEnd"/>
      <w:r w:rsidR="00C92424" w:rsidRPr="00C2489A">
        <w:rPr>
          <w:color w:val="000000"/>
          <w:sz w:val="28"/>
          <w:szCs w:val="28"/>
        </w:rPr>
        <w:t xml:space="preserve"> </w:t>
      </w:r>
      <w:proofErr w:type="gramStart"/>
      <w:r w:rsidR="00C92424" w:rsidRPr="00C2489A">
        <w:rPr>
          <w:color w:val="000000"/>
          <w:sz w:val="28"/>
          <w:szCs w:val="28"/>
        </w:rPr>
        <w:t>Приглашение для участия в определении поставщика (подрядчика, исполнителя) должно направляться, как минимум, всем лицам, предоставившим информацию по запросам для обоснования начальной (максимальной) цены контракта, а также поставщикам, (подрядчикам, исполнителям) с которыми есть положительный опыт сотрудничества.</w:t>
      </w:r>
      <w:proofErr w:type="gramEnd"/>
      <w:r w:rsidR="00C92424" w:rsidRPr="00C2489A">
        <w:rPr>
          <w:color w:val="000000"/>
          <w:sz w:val="28"/>
          <w:szCs w:val="28"/>
        </w:rPr>
        <w:t xml:space="preserve"> Приглашения направляются заблаговременно, но не ранее публикации извещения на официальном сайте </w:t>
      </w:r>
      <w:proofErr w:type="spellStart"/>
      <w:r w:rsidR="00C92424" w:rsidRPr="00C2489A">
        <w:rPr>
          <w:color w:val="000000"/>
          <w:sz w:val="28"/>
          <w:szCs w:val="28"/>
        </w:rPr>
        <w:t>госзакупок</w:t>
      </w:r>
      <w:proofErr w:type="spellEnd"/>
      <w:r w:rsidR="00C92424" w:rsidRPr="00C2489A">
        <w:rPr>
          <w:color w:val="000000"/>
          <w:sz w:val="28"/>
          <w:szCs w:val="28"/>
        </w:rPr>
        <w:t xml:space="preserve">. В случае, если при приближении срока окончания подачи заявок заказчик (оператор электронной площадки) не получает (получает недостаточное количество для признания определения поставщика </w:t>
      </w:r>
      <w:proofErr w:type="gramStart"/>
      <w:r w:rsidR="00C92424" w:rsidRPr="00C2489A">
        <w:rPr>
          <w:color w:val="000000"/>
          <w:sz w:val="28"/>
          <w:szCs w:val="28"/>
        </w:rPr>
        <w:t>состоявшимся</w:t>
      </w:r>
      <w:proofErr w:type="gramEnd"/>
      <w:r w:rsidR="00C92424" w:rsidRPr="00C2489A">
        <w:rPr>
          <w:color w:val="000000"/>
          <w:sz w:val="28"/>
          <w:szCs w:val="28"/>
        </w:rPr>
        <w:t xml:space="preserve">) заявок следует выяснить причину этого (устранить причину или срочно произвести поиск возможных участников и направить приглашение повторно более широкому </w:t>
      </w:r>
      <w:r w:rsidR="00D73D05">
        <w:rPr>
          <w:color w:val="000000"/>
          <w:sz w:val="28"/>
          <w:szCs w:val="28"/>
        </w:rPr>
        <w:t>кругу потенциальных участников).</w:t>
      </w:r>
    </w:p>
    <w:sectPr w:rsidR="00C92424" w:rsidRPr="00D73D05" w:rsidSect="00F24AC0">
      <w:pgSz w:w="15840" w:h="12240" w:orient="landscape"/>
      <w:pgMar w:top="851" w:right="851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94D"/>
    <w:multiLevelType w:val="hybridMultilevel"/>
    <w:tmpl w:val="E0B29554"/>
    <w:lvl w:ilvl="0" w:tplc="1EE831BE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C17F1F"/>
    <w:multiLevelType w:val="hybridMultilevel"/>
    <w:tmpl w:val="7AE8B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D"/>
    <w:rsid w:val="000208E0"/>
    <w:rsid w:val="00023EF3"/>
    <w:rsid w:val="00033254"/>
    <w:rsid w:val="0003486C"/>
    <w:rsid w:val="00037647"/>
    <w:rsid w:val="0005770D"/>
    <w:rsid w:val="000578B0"/>
    <w:rsid w:val="000955DD"/>
    <w:rsid w:val="00096693"/>
    <w:rsid w:val="000971AE"/>
    <w:rsid w:val="000A5914"/>
    <w:rsid w:val="000C32C6"/>
    <w:rsid w:val="000C7C61"/>
    <w:rsid w:val="000D164A"/>
    <w:rsid w:val="000D5F94"/>
    <w:rsid w:val="000D7A46"/>
    <w:rsid w:val="000E3C08"/>
    <w:rsid w:val="000E750B"/>
    <w:rsid w:val="00100F1F"/>
    <w:rsid w:val="00101F10"/>
    <w:rsid w:val="001200EE"/>
    <w:rsid w:val="00121344"/>
    <w:rsid w:val="0012331E"/>
    <w:rsid w:val="00130CF0"/>
    <w:rsid w:val="00132C18"/>
    <w:rsid w:val="00133C2F"/>
    <w:rsid w:val="00136F93"/>
    <w:rsid w:val="0014024E"/>
    <w:rsid w:val="00152B22"/>
    <w:rsid w:val="001556D5"/>
    <w:rsid w:val="001559B8"/>
    <w:rsid w:val="00156F5B"/>
    <w:rsid w:val="00181B88"/>
    <w:rsid w:val="001A1D8F"/>
    <w:rsid w:val="001A5502"/>
    <w:rsid w:val="001B043F"/>
    <w:rsid w:val="001D6C69"/>
    <w:rsid w:val="001E6C81"/>
    <w:rsid w:val="001F1C57"/>
    <w:rsid w:val="001F23A7"/>
    <w:rsid w:val="00201FC9"/>
    <w:rsid w:val="002055F3"/>
    <w:rsid w:val="0022155E"/>
    <w:rsid w:val="002232FE"/>
    <w:rsid w:val="00225F37"/>
    <w:rsid w:val="002316CA"/>
    <w:rsid w:val="00242552"/>
    <w:rsid w:val="00257393"/>
    <w:rsid w:val="002648F7"/>
    <w:rsid w:val="0027207E"/>
    <w:rsid w:val="00273A7C"/>
    <w:rsid w:val="00277FE2"/>
    <w:rsid w:val="0028315F"/>
    <w:rsid w:val="00294E31"/>
    <w:rsid w:val="002B7C25"/>
    <w:rsid w:val="002C011D"/>
    <w:rsid w:val="002C507B"/>
    <w:rsid w:val="002F7BDD"/>
    <w:rsid w:val="003003B4"/>
    <w:rsid w:val="0031424E"/>
    <w:rsid w:val="00322D67"/>
    <w:rsid w:val="00325554"/>
    <w:rsid w:val="003461A2"/>
    <w:rsid w:val="00347522"/>
    <w:rsid w:val="003501FE"/>
    <w:rsid w:val="00350513"/>
    <w:rsid w:val="00355CF7"/>
    <w:rsid w:val="00361167"/>
    <w:rsid w:val="0036127D"/>
    <w:rsid w:val="00366814"/>
    <w:rsid w:val="00373928"/>
    <w:rsid w:val="0038123D"/>
    <w:rsid w:val="0038326E"/>
    <w:rsid w:val="0038358F"/>
    <w:rsid w:val="003835B8"/>
    <w:rsid w:val="00387F1F"/>
    <w:rsid w:val="003939D5"/>
    <w:rsid w:val="00396C57"/>
    <w:rsid w:val="003A0FD5"/>
    <w:rsid w:val="003A3939"/>
    <w:rsid w:val="003A672C"/>
    <w:rsid w:val="003B407D"/>
    <w:rsid w:val="003B4A19"/>
    <w:rsid w:val="003B703B"/>
    <w:rsid w:val="003D5F89"/>
    <w:rsid w:val="003D7062"/>
    <w:rsid w:val="003D7B64"/>
    <w:rsid w:val="003E0C33"/>
    <w:rsid w:val="003E4DF0"/>
    <w:rsid w:val="00406A4F"/>
    <w:rsid w:val="0041293C"/>
    <w:rsid w:val="004255C1"/>
    <w:rsid w:val="004264B2"/>
    <w:rsid w:val="00427F97"/>
    <w:rsid w:val="00433EE5"/>
    <w:rsid w:val="00446337"/>
    <w:rsid w:val="00447300"/>
    <w:rsid w:val="00447B8B"/>
    <w:rsid w:val="004527C7"/>
    <w:rsid w:val="00453597"/>
    <w:rsid w:val="0045450C"/>
    <w:rsid w:val="004709B4"/>
    <w:rsid w:val="00487AC0"/>
    <w:rsid w:val="00491C70"/>
    <w:rsid w:val="004A489C"/>
    <w:rsid w:val="004B1284"/>
    <w:rsid w:val="004B5817"/>
    <w:rsid w:val="004C5A97"/>
    <w:rsid w:val="004C66CA"/>
    <w:rsid w:val="004D006D"/>
    <w:rsid w:val="004D44F8"/>
    <w:rsid w:val="004D73E3"/>
    <w:rsid w:val="004D744B"/>
    <w:rsid w:val="004E1240"/>
    <w:rsid w:val="004E3FDE"/>
    <w:rsid w:val="004F0545"/>
    <w:rsid w:val="004F071B"/>
    <w:rsid w:val="004F5502"/>
    <w:rsid w:val="004F77AA"/>
    <w:rsid w:val="00500140"/>
    <w:rsid w:val="0050465A"/>
    <w:rsid w:val="00506F69"/>
    <w:rsid w:val="005155AA"/>
    <w:rsid w:val="005218F7"/>
    <w:rsid w:val="00524F37"/>
    <w:rsid w:val="00533CA2"/>
    <w:rsid w:val="00537F58"/>
    <w:rsid w:val="0054499E"/>
    <w:rsid w:val="005506F6"/>
    <w:rsid w:val="00564229"/>
    <w:rsid w:val="00571A07"/>
    <w:rsid w:val="00574206"/>
    <w:rsid w:val="005742CB"/>
    <w:rsid w:val="00576391"/>
    <w:rsid w:val="005A01F9"/>
    <w:rsid w:val="005A02B6"/>
    <w:rsid w:val="005A3100"/>
    <w:rsid w:val="005A6660"/>
    <w:rsid w:val="005A741D"/>
    <w:rsid w:val="005B4968"/>
    <w:rsid w:val="005B49CC"/>
    <w:rsid w:val="005B5840"/>
    <w:rsid w:val="005B7CE6"/>
    <w:rsid w:val="005D2918"/>
    <w:rsid w:val="005E260D"/>
    <w:rsid w:val="005E4F0C"/>
    <w:rsid w:val="00605A02"/>
    <w:rsid w:val="00623180"/>
    <w:rsid w:val="00630F09"/>
    <w:rsid w:val="006310C9"/>
    <w:rsid w:val="00631D13"/>
    <w:rsid w:val="00634E88"/>
    <w:rsid w:val="00674059"/>
    <w:rsid w:val="00676BE5"/>
    <w:rsid w:val="00690246"/>
    <w:rsid w:val="00691EE7"/>
    <w:rsid w:val="006B22D7"/>
    <w:rsid w:val="006B576B"/>
    <w:rsid w:val="006C19FA"/>
    <w:rsid w:val="006C1A78"/>
    <w:rsid w:val="006C23F6"/>
    <w:rsid w:val="006C6CCE"/>
    <w:rsid w:val="006F0A41"/>
    <w:rsid w:val="00703527"/>
    <w:rsid w:val="00703B9F"/>
    <w:rsid w:val="00715ADA"/>
    <w:rsid w:val="0073319C"/>
    <w:rsid w:val="007469BA"/>
    <w:rsid w:val="00746D3D"/>
    <w:rsid w:val="00756CEA"/>
    <w:rsid w:val="00756EA4"/>
    <w:rsid w:val="00762A41"/>
    <w:rsid w:val="00766346"/>
    <w:rsid w:val="007730EF"/>
    <w:rsid w:val="00773621"/>
    <w:rsid w:val="00775AA3"/>
    <w:rsid w:val="007838B4"/>
    <w:rsid w:val="00787672"/>
    <w:rsid w:val="00787F14"/>
    <w:rsid w:val="00792D88"/>
    <w:rsid w:val="00797D7D"/>
    <w:rsid w:val="007B030C"/>
    <w:rsid w:val="007B245E"/>
    <w:rsid w:val="007B3441"/>
    <w:rsid w:val="007B4F74"/>
    <w:rsid w:val="007C317F"/>
    <w:rsid w:val="007D380E"/>
    <w:rsid w:val="007E54D0"/>
    <w:rsid w:val="007F06DB"/>
    <w:rsid w:val="0080056B"/>
    <w:rsid w:val="008030A7"/>
    <w:rsid w:val="008133AA"/>
    <w:rsid w:val="008160D8"/>
    <w:rsid w:val="008317A6"/>
    <w:rsid w:val="00851B84"/>
    <w:rsid w:val="008645A3"/>
    <w:rsid w:val="008725B7"/>
    <w:rsid w:val="008831A7"/>
    <w:rsid w:val="00884AB8"/>
    <w:rsid w:val="008949AE"/>
    <w:rsid w:val="008A290A"/>
    <w:rsid w:val="008B6EB1"/>
    <w:rsid w:val="008C04BC"/>
    <w:rsid w:val="008D6EE0"/>
    <w:rsid w:val="008E4A20"/>
    <w:rsid w:val="008F2AED"/>
    <w:rsid w:val="008F3AEC"/>
    <w:rsid w:val="00900B8B"/>
    <w:rsid w:val="00904A5B"/>
    <w:rsid w:val="0090519F"/>
    <w:rsid w:val="00906EC8"/>
    <w:rsid w:val="00916612"/>
    <w:rsid w:val="009168B8"/>
    <w:rsid w:val="00920147"/>
    <w:rsid w:val="009209FF"/>
    <w:rsid w:val="00932263"/>
    <w:rsid w:val="00955C5B"/>
    <w:rsid w:val="00967E70"/>
    <w:rsid w:val="00980D33"/>
    <w:rsid w:val="00982335"/>
    <w:rsid w:val="00993269"/>
    <w:rsid w:val="00996440"/>
    <w:rsid w:val="00996891"/>
    <w:rsid w:val="0099737A"/>
    <w:rsid w:val="009A1EAB"/>
    <w:rsid w:val="009A3922"/>
    <w:rsid w:val="009B5EE4"/>
    <w:rsid w:val="009B7601"/>
    <w:rsid w:val="009C2E6C"/>
    <w:rsid w:val="009E2E4B"/>
    <w:rsid w:val="009E4C70"/>
    <w:rsid w:val="009E513A"/>
    <w:rsid w:val="009E5735"/>
    <w:rsid w:val="009F3F83"/>
    <w:rsid w:val="009F57AF"/>
    <w:rsid w:val="00A12035"/>
    <w:rsid w:val="00A136BE"/>
    <w:rsid w:val="00A221DB"/>
    <w:rsid w:val="00A2751F"/>
    <w:rsid w:val="00A3412E"/>
    <w:rsid w:val="00A376FE"/>
    <w:rsid w:val="00A66DCA"/>
    <w:rsid w:val="00A708F2"/>
    <w:rsid w:val="00A7270E"/>
    <w:rsid w:val="00A80EBD"/>
    <w:rsid w:val="00A81409"/>
    <w:rsid w:val="00A87AE6"/>
    <w:rsid w:val="00A94815"/>
    <w:rsid w:val="00AB0510"/>
    <w:rsid w:val="00AD084C"/>
    <w:rsid w:val="00AE4658"/>
    <w:rsid w:val="00AF2144"/>
    <w:rsid w:val="00AF680F"/>
    <w:rsid w:val="00AF7C63"/>
    <w:rsid w:val="00B15189"/>
    <w:rsid w:val="00B21FDF"/>
    <w:rsid w:val="00B221A3"/>
    <w:rsid w:val="00B244F7"/>
    <w:rsid w:val="00B25433"/>
    <w:rsid w:val="00B2603C"/>
    <w:rsid w:val="00B356AA"/>
    <w:rsid w:val="00B43ED5"/>
    <w:rsid w:val="00B4552F"/>
    <w:rsid w:val="00B458B2"/>
    <w:rsid w:val="00B45E5B"/>
    <w:rsid w:val="00B50047"/>
    <w:rsid w:val="00B62D79"/>
    <w:rsid w:val="00B720E8"/>
    <w:rsid w:val="00B842D0"/>
    <w:rsid w:val="00B87C30"/>
    <w:rsid w:val="00B9093C"/>
    <w:rsid w:val="00B96E58"/>
    <w:rsid w:val="00BA0E94"/>
    <w:rsid w:val="00BA4185"/>
    <w:rsid w:val="00BA64CB"/>
    <w:rsid w:val="00BE5039"/>
    <w:rsid w:val="00C007EF"/>
    <w:rsid w:val="00C10F77"/>
    <w:rsid w:val="00C137C1"/>
    <w:rsid w:val="00C17CFD"/>
    <w:rsid w:val="00C20822"/>
    <w:rsid w:val="00C31365"/>
    <w:rsid w:val="00C4108B"/>
    <w:rsid w:val="00C450C9"/>
    <w:rsid w:val="00C524CB"/>
    <w:rsid w:val="00C5331B"/>
    <w:rsid w:val="00C54D83"/>
    <w:rsid w:val="00C555D0"/>
    <w:rsid w:val="00C74ED6"/>
    <w:rsid w:val="00C92424"/>
    <w:rsid w:val="00C92A7B"/>
    <w:rsid w:val="00C9775B"/>
    <w:rsid w:val="00CA5308"/>
    <w:rsid w:val="00CB35B7"/>
    <w:rsid w:val="00CB41BA"/>
    <w:rsid w:val="00CC5B21"/>
    <w:rsid w:val="00CD56EC"/>
    <w:rsid w:val="00CD57D5"/>
    <w:rsid w:val="00CE0AE4"/>
    <w:rsid w:val="00CE1930"/>
    <w:rsid w:val="00CF546B"/>
    <w:rsid w:val="00D06AB2"/>
    <w:rsid w:val="00D07803"/>
    <w:rsid w:val="00D11928"/>
    <w:rsid w:val="00D20B72"/>
    <w:rsid w:val="00D31560"/>
    <w:rsid w:val="00D36212"/>
    <w:rsid w:val="00D4226A"/>
    <w:rsid w:val="00D531C5"/>
    <w:rsid w:val="00D67330"/>
    <w:rsid w:val="00D70A91"/>
    <w:rsid w:val="00D73D05"/>
    <w:rsid w:val="00D775A0"/>
    <w:rsid w:val="00D92363"/>
    <w:rsid w:val="00D9306B"/>
    <w:rsid w:val="00D943F3"/>
    <w:rsid w:val="00D9458D"/>
    <w:rsid w:val="00DA7606"/>
    <w:rsid w:val="00DB3A8B"/>
    <w:rsid w:val="00DC4036"/>
    <w:rsid w:val="00DD2025"/>
    <w:rsid w:val="00DF0B4B"/>
    <w:rsid w:val="00DF16C9"/>
    <w:rsid w:val="00E06140"/>
    <w:rsid w:val="00E06205"/>
    <w:rsid w:val="00E14FB4"/>
    <w:rsid w:val="00E1593E"/>
    <w:rsid w:val="00E33927"/>
    <w:rsid w:val="00E53E58"/>
    <w:rsid w:val="00E639A7"/>
    <w:rsid w:val="00E8399B"/>
    <w:rsid w:val="00E83FB3"/>
    <w:rsid w:val="00EA0FDA"/>
    <w:rsid w:val="00EA22F4"/>
    <w:rsid w:val="00EB22EC"/>
    <w:rsid w:val="00EB3E4E"/>
    <w:rsid w:val="00EB41A7"/>
    <w:rsid w:val="00EC6501"/>
    <w:rsid w:val="00ED3391"/>
    <w:rsid w:val="00EF1988"/>
    <w:rsid w:val="00EF1C61"/>
    <w:rsid w:val="00EF4F0F"/>
    <w:rsid w:val="00F117F0"/>
    <w:rsid w:val="00F12FEE"/>
    <w:rsid w:val="00F17488"/>
    <w:rsid w:val="00F179F1"/>
    <w:rsid w:val="00F17D58"/>
    <w:rsid w:val="00F2215C"/>
    <w:rsid w:val="00F22590"/>
    <w:rsid w:val="00F24AC0"/>
    <w:rsid w:val="00F24E36"/>
    <w:rsid w:val="00F25C05"/>
    <w:rsid w:val="00F2708E"/>
    <w:rsid w:val="00F36274"/>
    <w:rsid w:val="00F45249"/>
    <w:rsid w:val="00F5037A"/>
    <w:rsid w:val="00F54E23"/>
    <w:rsid w:val="00F56D4B"/>
    <w:rsid w:val="00F761E1"/>
    <w:rsid w:val="00F82113"/>
    <w:rsid w:val="00FA524E"/>
    <w:rsid w:val="00FB111F"/>
    <w:rsid w:val="00FC07C2"/>
    <w:rsid w:val="00FD2B1A"/>
    <w:rsid w:val="00FD72A0"/>
    <w:rsid w:val="00FE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11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49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499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11D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0">
    <w:name w:val="Заголовок 3 Знак"/>
    <w:basedOn w:val="a0"/>
    <w:link w:val="3"/>
    <w:rsid w:val="002C011D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paragraph" w:customStyle="1" w:styleId="ConsPlusTitle">
    <w:name w:val="ConsPlusTitle"/>
    <w:rsid w:val="002C0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0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4499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54499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kstob">
    <w:name w:val="tekstob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Знак Знак Знак"/>
    <w:basedOn w:val="a"/>
    <w:rsid w:val="007E54D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5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2B2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11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49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499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11D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0">
    <w:name w:val="Заголовок 3 Знак"/>
    <w:basedOn w:val="a0"/>
    <w:link w:val="3"/>
    <w:rsid w:val="002C011D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paragraph" w:customStyle="1" w:styleId="ConsPlusTitle">
    <w:name w:val="ConsPlusTitle"/>
    <w:rsid w:val="002C0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0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4499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54499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kstob">
    <w:name w:val="tekstob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Знак Знак Знак"/>
    <w:basedOn w:val="a"/>
    <w:rsid w:val="007E54D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5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2B2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2018-06-21T09:37:00Z</cp:lastPrinted>
  <dcterms:created xsi:type="dcterms:W3CDTF">2018-10-22T06:35:00Z</dcterms:created>
  <dcterms:modified xsi:type="dcterms:W3CDTF">2018-10-22T06:35:00Z</dcterms:modified>
</cp:coreProperties>
</file>